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0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553"/>
        <w:gridCol w:w="698"/>
        <w:gridCol w:w="934"/>
        <w:gridCol w:w="881"/>
        <w:gridCol w:w="1136"/>
      </w:tblGrid>
      <w:tr w:rsidR="00A8129E" w:rsidRPr="004219FE" w:rsidTr="002479F4">
        <w:tc>
          <w:tcPr>
            <w:tcW w:w="11178" w:type="dxa"/>
            <w:gridSpan w:val="6"/>
          </w:tcPr>
          <w:p w:rsidR="00A8129E" w:rsidRPr="004219FE" w:rsidRDefault="00A8129E" w:rsidP="002479F4">
            <w:pPr>
              <w:jc w:val="center"/>
              <w:rPr>
                <w:rFonts w:ascii="Arial Narrow" w:hAnsi="Arial Narrow"/>
                <w:b/>
                <w:sz w:val="18"/>
                <w:szCs w:val="18"/>
              </w:rPr>
            </w:pPr>
            <w:bookmarkStart w:id="0" w:name="_GoBack"/>
            <w:bookmarkEnd w:id="0"/>
            <w:r w:rsidRPr="004219FE">
              <w:rPr>
                <w:rFonts w:ascii="Arial Narrow" w:hAnsi="Arial Narrow"/>
                <w:b/>
                <w:sz w:val="18"/>
                <w:szCs w:val="18"/>
              </w:rPr>
              <w:t>Food for Peace Budget Matrix</w:t>
            </w:r>
            <w:r>
              <w:rPr>
                <w:rFonts w:ascii="Arial Narrow" w:hAnsi="Arial Narrow"/>
                <w:b/>
                <w:sz w:val="18"/>
                <w:szCs w:val="18"/>
              </w:rPr>
              <w:t xml:space="preserve"> for Development Programs</w:t>
            </w:r>
            <w:r w:rsidRPr="004219FE">
              <w:rPr>
                <w:rFonts w:ascii="Arial Narrow" w:hAnsi="Arial Narrow"/>
                <w:b/>
                <w:sz w:val="18"/>
                <w:szCs w:val="18"/>
              </w:rPr>
              <w:t>, Version 20</w:t>
            </w:r>
            <w:r>
              <w:rPr>
                <w:rFonts w:ascii="Arial Narrow" w:hAnsi="Arial Narrow"/>
                <w:b/>
                <w:sz w:val="18"/>
                <w:szCs w:val="18"/>
              </w:rPr>
              <w:t>14</w:t>
            </w:r>
          </w:p>
        </w:tc>
      </w:tr>
      <w:tr w:rsidR="00A8129E" w:rsidRPr="004219FE" w:rsidTr="002479F4">
        <w:tc>
          <w:tcPr>
            <w:tcW w:w="11178" w:type="dxa"/>
            <w:gridSpan w:val="6"/>
          </w:tcPr>
          <w:p w:rsidR="00A8129E" w:rsidRPr="004219FE" w:rsidRDefault="00A8129E" w:rsidP="002479F4">
            <w:pPr>
              <w:rPr>
                <w:rFonts w:ascii="Arial Narrow" w:hAnsi="Arial Narrow"/>
                <w:b/>
                <w:sz w:val="18"/>
                <w:szCs w:val="18"/>
              </w:rPr>
            </w:pPr>
            <w:r w:rsidRPr="004219FE">
              <w:rPr>
                <w:rFonts w:ascii="Arial Narrow" w:hAnsi="Arial Narrow"/>
                <w:sz w:val="18"/>
                <w:szCs w:val="18"/>
              </w:rPr>
              <w:t>This budget matrix is a supplemental tool for use in conjunction with FFPIB</w:t>
            </w:r>
            <w:r>
              <w:rPr>
                <w:rFonts w:ascii="Arial Narrow" w:hAnsi="Arial Narrow"/>
                <w:sz w:val="18"/>
                <w:szCs w:val="18"/>
              </w:rPr>
              <w:t>14-01</w:t>
            </w:r>
            <w:r w:rsidRPr="004219FE">
              <w:rPr>
                <w:rFonts w:ascii="Arial Narrow" w:hAnsi="Arial Narrow"/>
                <w:sz w:val="18"/>
                <w:szCs w:val="18"/>
              </w:rPr>
              <w:t xml:space="preserve">.  The matrix should be used as a guide in reviewing budgets for </w:t>
            </w:r>
            <w:r>
              <w:rPr>
                <w:rFonts w:ascii="Arial Narrow" w:hAnsi="Arial Narrow"/>
                <w:sz w:val="18"/>
                <w:szCs w:val="18"/>
              </w:rPr>
              <w:t>development program</w:t>
            </w:r>
            <w:r w:rsidRPr="004219FE">
              <w:rPr>
                <w:rFonts w:ascii="Arial Narrow" w:hAnsi="Arial Narrow"/>
                <w:sz w:val="18"/>
                <w:szCs w:val="18"/>
              </w:rPr>
              <w:t xml:space="preserve">s.  </w:t>
            </w:r>
            <w:r w:rsidRPr="004219FE">
              <w:rPr>
                <w:rFonts w:ascii="Arial Narrow" w:hAnsi="Arial Narrow"/>
                <w:b/>
                <w:sz w:val="18"/>
                <w:szCs w:val="18"/>
              </w:rPr>
              <w:t xml:space="preserve">However, this is only guidance; budgets may need to be re-aligned on a case-by-case basis.  If discrepancies exist between the matrix and FFP policy </w:t>
            </w:r>
            <w:proofErr w:type="gramStart"/>
            <w:r w:rsidRPr="004219FE">
              <w:rPr>
                <w:rFonts w:ascii="Arial Narrow" w:hAnsi="Arial Narrow"/>
                <w:b/>
                <w:sz w:val="18"/>
                <w:szCs w:val="18"/>
              </w:rPr>
              <w:t>or</w:t>
            </w:r>
            <w:proofErr w:type="gramEnd"/>
            <w:r w:rsidRPr="004219FE">
              <w:rPr>
                <w:rFonts w:ascii="Arial Narrow" w:hAnsi="Arial Narrow"/>
                <w:b/>
                <w:sz w:val="18"/>
                <w:szCs w:val="18"/>
              </w:rPr>
              <w:t xml:space="preserve"> FFPIB, the policy or FFPIB takes precedence over this matrix.</w:t>
            </w:r>
          </w:p>
        </w:tc>
      </w:tr>
      <w:tr w:rsidR="00A8129E" w:rsidRPr="004219FE" w:rsidTr="002479F4">
        <w:tc>
          <w:tcPr>
            <w:tcW w:w="11178" w:type="dxa"/>
            <w:gridSpan w:val="6"/>
          </w:tcPr>
          <w:p w:rsidR="00A8129E" w:rsidRPr="00AE6597" w:rsidRDefault="00A8129E" w:rsidP="002479F4">
            <w:pPr>
              <w:rPr>
                <w:rFonts w:ascii="Arial Narrow" w:hAnsi="Arial Narrow"/>
                <w:b/>
                <w:sz w:val="18"/>
                <w:szCs w:val="18"/>
              </w:rPr>
            </w:pPr>
            <w:r w:rsidRPr="00AE6597">
              <w:rPr>
                <w:rFonts w:ascii="Arial Narrow" w:hAnsi="Arial Narrow"/>
                <w:sz w:val="18"/>
                <w:szCs w:val="18"/>
              </w:rPr>
              <w:t xml:space="preserve">Within each funding column numbers 1, 2, 3 and 4 indicate order of preference for funding.  A “1” indicates that an item or cost should be budgeted under that source of funding first.  A “2,” “3” or “4” </w:t>
            </w:r>
            <w:proofErr w:type="gramStart"/>
            <w:r w:rsidRPr="00AE6597">
              <w:rPr>
                <w:rFonts w:ascii="Arial Narrow" w:hAnsi="Arial Narrow"/>
                <w:sz w:val="18"/>
                <w:szCs w:val="18"/>
              </w:rPr>
              <w:t>indicates</w:t>
            </w:r>
            <w:proofErr w:type="gramEnd"/>
            <w:r w:rsidRPr="00AE6597">
              <w:rPr>
                <w:rFonts w:ascii="Arial Narrow" w:hAnsi="Arial Narrow"/>
                <w:sz w:val="18"/>
                <w:szCs w:val="18"/>
              </w:rPr>
              <w:t xml:space="preserve"> that these columns should be considered for funding an item or cost, if funds are not available in “1”.  Shaded cells indicate ineligibility for costs or items from this funding source. Monetization is abbreviated as MTZ.  </w:t>
            </w: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b/>
                <w:sz w:val="18"/>
                <w:szCs w:val="18"/>
              </w:rPr>
            </w:pPr>
            <w:r w:rsidRPr="004219FE">
              <w:rPr>
                <w:rFonts w:ascii="Arial Narrow" w:hAnsi="Arial Narrow"/>
                <w:b/>
                <w:sz w:val="18"/>
                <w:szCs w:val="18"/>
              </w:rPr>
              <w:t>ITSH</w:t>
            </w:r>
          </w:p>
        </w:tc>
        <w:tc>
          <w:tcPr>
            <w:tcW w:w="0" w:type="auto"/>
            <w:shd w:val="clear" w:color="auto" w:fill="auto"/>
          </w:tcPr>
          <w:p w:rsidR="00A8129E" w:rsidRPr="004219FE" w:rsidRDefault="00A8129E" w:rsidP="002479F4">
            <w:pPr>
              <w:rPr>
                <w:rFonts w:ascii="Arial Narrow" w:hAnsi="Arial Narrow"/>
                <w:b/>
                <w:sz w:val="18"/>
                <w:szCs w:val="18"/>
              </w:rPr>
            </w:pPr>
            <w:r w:rsidRPr="004219FE">
              <w:rPr>
                <w:rFonts w:ascii="Arial Narrow" w:hAnsi="Arial Narrow"/>
                <w:b/>
                <w:sz w:val="18"/>
                <w:szCs w:val="18"/>
              </w:rPr>
              <w:t>202(e)</w:t>
            </w:r>
            <w:r w:rsidR="002479F4">
              <w:rPr>
                <w:rStyle w:val="FootnoteReference"/>
                <w:rFonts w:ascii="Arial Narrow" w:hAnsi="Arial Narrow"/>
                <w:b/>
                <w:sz w:val="18"/>
                <w:szCs w:val="18"/>
              </w:rPr>
              <w:footnoteReference w:id="1"/>
            </w:r>
          </w:p>
        </w:tc>
        <w:tc>
          <w:tcPr>
            <w:tcW w:w="0" w:type="auto"/>
          </w:tcPr>
          <w:p w:rsidR="00A8129E" w:rsidRPr="004219FE" w:rsidRDefault="006D614E" w:rsidP="002479F4">
            <w:pPr>
              <w:rPr>
                <w:rFonts w:ascii="Arial Narrow" w:hAnsi="Arial Narrow"/>
                <w:b/>
                <w:sz w:val="18"/>
                <w:szCs w:val="18"/>
              </w:rPr>
            </w:pPr>
            <w:r>
              <w:rPr>
                <w:rFonts w:ascii="Arial Narrow" w:hAnsi="Arial Narrow"/>
                <w:b/>
                <w:sz w:val="18"/>
                <w:szCs w:val="18"/>
              </w:rPr>
              <w:t>202(e)</w:t>
            </w:r>
            <w:r w:rsidR="002479F4">
              <w:rPr>
                <w:rStyle w:val="FootnoteReference"/>
                <w:rFonts w:ascii="Arial Narrow" w:hAnsi="Arial Narrow"/>
                <w:b/>
                <w:sz w:val="18"/>
                <w:szCs w:val="18"/>
              </w:rPr>
              <w:footnoteReference w:id="2"/>
            </w:r>
            <w:r>
              <w:rPr>
                <w:rFonts w:ascii="Arial Narrow" w:hAnsi="Arial Narrow"/>
                <w:b/>
                <w:sz w:val="18"/>
                <w:szCs w:val="18"/>
              </w:rPr>
              <w:t xml:space="preserve"> and CDF</w:t>
            </w:r>
          </w:p>
        </w:tc>
        <w:tc>
          <w:tcPr>
            <w:tcW w:w="0" w:type="auto"/>
            <w:shd w:val="clear" w:color="auto" w:fill="auto"/>
          </w:tcPr>
          <w:p w:rsidR="00A8129E" w:rsidRDefault="00A8129E" w:rsidP="002479F4">
            <w:pPr>
              <w:rPr>
                <w:rFonts w:ascii="Arial Narrow" w:hAnsi="Arial Narrow"/>
                <w:b/>
                <w:sz w:val="18"/>
                <w:szCs w:val="18"/>
              </w:rPr>
            </w:pPr>
            <w:r w:rsidRPr="004219FE">
              <w:rPr>
                <w:rFonts w:ascii="Arial Narrow" w:hAnsi="Arial Narrow"/>
                <w:b/>
                <w:sz w:val="18"/>
                <w:szCs w:val="18"/>
              </w:rPr>
              <w:t>MTZ.</w:t>
            </w:r>
          </w:p>
          <w:p w:rsidR="006D614E" w:rsidRPr="004219FE" w:rsidRDefault="006D614E" w:rsidP="002479F4">
            <w:pPr>
              <w:rPr>
                <w:rFonts w:ascii="Arial Narrow" w:hAnsi="Arial Narrow"/>
                <w:b/>
                <w:sz w:val="18"/>
                <w:szCs w:val="18"/>
              </w:rPr>
            </w:pPr>
            <w:r>
              <w:rPr>
                <w:rFonts w:ascii="Arial Narrow" w:hAnsi="Arial Narrow"/>
                <w:b/>
                <w:sz w:val="18"/>
                <w:szCs w:val="18"/>
              </w:rPr>
              <w:t>Proceeds</w:t>
            </w:r>
          </w:p>
        </w:tc>
        <w:tc>
          <w:tcPr>
            <w:tcW w:w="1136" w:type="dxa"/>
            <w:shd w:val="clear" w:color="auto" w:fill="auto"/>
          </w:tcPr>
          <w:p w:rsidR="00A8129E" w:rsidRPr="004219FE" w:rsidRDefault="00A8129E" w:rsidP="002479F4">
            <w:pPr>
              <w:rPr>
                <w:rFonts w:ascii="Arial Narrow" w:hAnsi="Arial Narrow"/>
                <w:b/>
                <w:sz w:val="18"/>
                <w:szCs w:val="18"/>
              </w:rPr>
            </w:pPr>
            <w:r w:rsidRPr="004219FE">
              <w:rPr>
                <w:rFonts w:ascii="Arial Narrow" w:hAnsi="Arial Narrow"/>
                <w:b/>
                <w:sz w:val="18"/>
                <w:szCs w:val="18"/>
              </w:rPr>
              <w:t>Cost Share</w:t>
            </w:r>
          </w:p>
        </w:tc>
      </w:tr>
      <w:tr w:rsidR="00A8129E" w:rsidRPr="004219FE" w:rsidTr="002479F4">
        <w:tc>
          <w:tcPr>
            <w:tcW w:w="11178" w:type="dxa"/>
            <w:gridSpan w:val="6"/>
          </w:tcPr>
          <w:p w:rsidR="00A8129E" w:rsidRPr="004219FE" w:rsidRDefault="00A8129E" w:rsidP="002479F4">
            <w:pPr>
              <w:rPr>
                <w:rFonts w:ascii="Arial Narrow" w:hAnsi="Arial Narrow"/>
                <w:sz w:val="18"/>
                <w:szCs w:val="18"/>
              </w:rPr>
            </w:pPr>
            <w:r w:rsidRPr="004219FE">
              <w:rPr>
                <w:rFonts w:ascii="Arial Narrow" w:hAnsi="Arial Narrow"/>
                <w:b/>
                <w:sz w:val="18"/>
                <w:szCs w:val="18"/>
              </w:rPr>
              <w:t>Administrative/Overhead Costs (directly allocable, allowable and reasonable)</w:t>
            </w: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Field office rent and utilities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Field office rent and utilities (ITSH related)</w:t>
            </w: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Field office communications, supplies and equipment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Field office communications, supplies and equipment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Travel (non-ITSH related), includes per diem</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Travel (ITSH related), includes per diem</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Vehicle purchase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preferred</w:t>
            </w: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Vehicle purchase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preferred</w:t>
            </w: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Vehicle lease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preferred</w:t>
            </w: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Vehicle lease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preferred</w:t>
            </w: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Vehicle fuel/maintenance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Vehicle fuel/maintenance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Miscellaneous administrative fees (banking, currency conversion, etc.)</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Audit costs (non-ITSH related, e.g., OMB Circular A-122 audit)</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11178" w:type="dxa"/>
            <w:gridSpan w:val="6"/>
          </w:tcPr>
          <w:p w:rsidR="00A8129E" w:rsidRPr="004219FE" w:rsidRDefault="00A8129E" w:rsidP="002479F4">
            <w:pPr>
              <w:rPr>
                <w:rFonts w:ascii="Arial Narrow" w:hAnsi="Arial Narrow"/>
                <w:sz w:val="18"/>
                <w:szCs w:val="18"/>
              </w:rPr>
            </w:pPr>
            <w:r w:rsidRPr="004219FE">
              <w:rPr>
                <w:rFonts w:ascii="Arial Narrow" w:hAnsi="Arial Narrow"/>
                <w:b/>
                <w:sz w:val="18"/>
                <w:szCs w:val="18"/>
              </w:rPr>
              <w:t>Personnel Costs</w:t>
            </w: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Personnel/consultants (supervision, salaries, benefits, travel) directly related to Title II project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Personnel/consultants (supervision, salaries, benefits, travel) directly related to Title II project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Training related travel, consultants, and per diem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Training related travel, consultants, and per diem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Technical assistance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Technical assistance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Warehouse security personnel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Warehouse security personnel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11178" w:type="dxa"/>
            <w:gridSpan w:val="6"/>
          </w:tcPr>
          <w:p w:rsidR="00A8129E" w:rsidRPr="004219FE" w:rsidRDefault="00A8129E" w:rsidP="002479F4">
            <w:pPr>
              <w:rPr>
                <w:rFonts w:ascii="Arial Narrow" w:hAnsi="Arial Narrow"/>
                <w:sz w:val="18"/>
                <w:szCs w:val="18"/>
              </w:rPr>
            </w:pPr>
            <w:r w:rsidRPr="004219FE">
              <w:rPr>
                <w:rFonts w:ascii="Arial Narrow" w:hAnsi="Arial Narrow"/>
                <w:b/>
                <w:sz w:val="18"/>
                <w:szCs w:val="18"/>
              </w:rPr>
              <w:t>Internal Transportation and Distribution</w:t>
            </w: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Clearing and handling (port clearance—excluding taxes, fees, duties—pest control, fumigation, commodity reconstitution)</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Internal transportation from discharge port or designated port of entry to distribution sites, truck rental, rail or barge transportation, truck maintenance, truck fuel, truck drivers, and handling charges, stevedoring </w:t>
            </w:r>
            <w:r w:rsidRPr="004219FE">
              <w:rPr>
                <w:rFonts w:ascii="Arial Narrow" w:hAnsi="Arial Narrow"/>
                <w:sz w:val="18"/>
                <w:szCs w:val="18"/>
                <w:u w:val="single"/>
              </w:rPr>
              <w:t>(if not covered in freight contract)</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Facilities, supplies and equipment for food distribution and preparation</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Distribution (materials for registration and commodity distribution, commodity handling, surveys, local marking and labeling)</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Commodity fumigation, enhancement, fortification, rehabilitation, local processing, reconditioning, re-bagging, testing and sampling for quality control</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Monitoring and evaluation costs of use and impact of Title II commodities (all programs) (ITSH related) </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Audit costs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Borders>
              <w:bottom w:val="single" w:sz="4" w:space="0" w:color="auto"/>
            </w:tcBorders>
            <w:shd w:val="clear" w:color="auto" w:fill="A6A6A6"/>
          </w:tcPr>
          <w:p w:rsidR="00A8129E" w:rsidRPr="004219FE" w:rsidRDefault="00A8129E" w:rsidP="002479F4">
            <w:pPr>
              <w:rPr>
                <w:rFonts w:ascii="Arial Narrow" w:hAnsi="Arial Narrow"/>
                <w:sz w:val="18"/>
                <w:szCs w:val="18"/>
              </w:rPr>
            </w:pP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Branding and Marking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11178" w:type="dxa"/>
            <w:gridSpan w:val="6"/>
          </w:tcPr>
          <w:p w:rsidR="00A8129E" w:rsidRPr="004219FE" w:rsidRDefault="00A8129E" w:rsidP="002479F4">
            <w:pPr>
              <w:rPr>
                <w:rFonts w:ascii="Arial Narrow" w:hAnsi="Arial Narrow"/>
                <w:sz w:val="18"/>
                <w:szCs w:val="18"/>
              </w:rPr>
            </w:pPr>
            <w:r w:rsidRPr="004219FE">
              <w:rPr>
                <w:rFonts w:ascii="Arial Narrow" w:hAnsi="Arial Narrow"/>
                <w:b/>
                <w:sz w:val="18"/>
                <w:szCs w:val="18"/>
              </w:rPr>
              <w:t>Storage</w:t>
            </w: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Warehouse rent /lease, temporary storage construction for Title II commodities, storage space repairs, pallets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Warehouse security (improvements to physical structure) (ITSH related)</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11178" w:type="dxa"/>
            <w:gridSpan w:val="6"/>
          </w:tcPr>
          <w:p w:rsidR="00A8129E" w:rsidRPr="004219FE" w:rsidRDefault="00A8129E" w:rsidP="002479F4">
            <w:pPr>
              <w:rPr>
                <w:rFonts w:ascii="Arial Narrow" w:hAnsi="Arial Narrow"/>
                <w:sz w:val="18"/>
                <w:szCs w:val="18"/>
              </w:rPr>
            </w:pPr>
            <w:r w:rsidRPr="004219FE">
              <w:rPr>
                <w:rFonts w:ascii="Arial Narrow" w:hAnsi="Arial Narrow"/>
                <w:b/>
                <w:sz w:val="18"/>
                <w:szCs w:val="18"/>
              </w:rPr>
              <w:t>Programming</w:t>
            </w: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Program materials, tools and equipment </w:t>
            </w:r>
          </w:p>
        </w:tc>
        <w:tc>
          <w:tcPr>
            <w:tcW w:w="0" w:type="auto"/>
            <w:tcBorders>
              <w:bottom w:val="single" w:sz="4" w:space="0" w:color="auto"/>
            </w:tcBorders>
            <w:shd w:val="clear" w:color="auto" w:fill="A6A6A6"/>
          </w:tcPr>
          <w:p w:rsidR="00A8129E" w:rsidRPr="004219FE" w:rsidRDefault="00A8129E" w:rsidP="002479F4">
            <w:pPr>
              <w:rPr>
                <w:rFonts w:ascii="Arial Narrow" w:hAnsi="Arial Narrow"/>
                <w:sz w:val="18"/>
                <w:szCs w:val="18"/>
              </w:rPr>
            </w:pPr>
          </w:p>
        </w:tc>
        <w:tc>
          <w:tcPr>
            <w:tcW w:w="0" w:type="auto"/>
            <w:tcBorders>
              <w:bottom w:val="single" w:sz="4" w:space="0" w:color="auto"/>
            </w:tcBorders>
            <w:shd w:val="clear" w:color="auto" w:fill="auto"/>
          </w:tcPr>
          <w:p w:rsidR="00A8129E" w:rsidRPr="004219FE" w:rsidRDefault="006D614E" w:rsidP="002479F4">
            <w:pPr>
              <w:rPr>
                <w:rFonts w:ascii="Arial Narrow" w:hAnsi="Arial Narrow"/>
                <w:sz w:val="18"/>
                <w:szCs w:val="18"/>
              </w:rPr>
            </w:pPr>
            <w:r>
              <w:rPr>
                <w:rFonts w:ascii="Arial Narrow" w:hAnsi="Arial Narrow"/>
                <w:sz w:val="18"/>
                <w:szCs w:val="18"/>
              </w:rPr>
              <w:t>2</w:t>
            </w:r>
          </w:p>
        </w:tc>
        <w:tc>
          <w:tcPr>
            <w:tcW w:w="0" w:type="auto"/>
          </w:tcPr>
          <w:p w:rsidR="00A8129E" w:rsidRPr="004219FE" w:rsidRDefault="006D614E" w:rsidP="002479F4">
            <w:pPr>
              <w:rPr>
                <w:rFonts w:ascii="Arial Narrow" w:hAnsi="Arial Narrow"/>
                <w:sz w:val="18"/>
                <w:szCs w:val="18"/>
              </w:rPr>
            </w:pPr>
            <w:r>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Scales and medical equipment for assessments/monitoring </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6D614E" w:rsidP="002479F4">
            <w:pPr>
              <w:rPr>
                <w:rFonts w:ascii="Arial Narrow" w:hAnsi="Arial Narrow"/>
                <w:sz w:val="18"/>
                <w:szCs w:val="18"/>
              </w:rPr>
            </w:pPr>
            <w:r>
              <w:rPr>
                <w:rFonts w:ascii="Arial Narrow" w:hAnsi="Arial Narrow"/>
                <w:sz w:val="18"/>
                <w:szCs w:val="18"/>
              </w:rPr>
              <w:t>2</w:t>
            </w:r>
          </w:p>
        </w:tc>
        <w:tc>
          <w:tcPr>
            <w:tcW w:w="0" w:type="auto"/>
          </w:tcPr>
          <w:p w:rsidR="00A8129E" w:rsidRPr="004219FE" w:rsidRDefault="006D614E" w:rsidP="002479F4">
            <w:pPr>
              <w:rPr>
                <w:rFonts w:ascii="Arial Narrow" w:hAnsi="Arial Narrow"/>
                <w:sz w:val="18"/>
                <w:szCs w:val="18"/>
              </w:rPr>
            </w:pPr>
            <w:r>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Water access or provision </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6D614E" w:rsidP="002479F4">
            <w:pPr>
              <w:rPr>
                <w:rFonts w:ascii="Arial Narrow" w:hAnsi="Arial Narrow"/>
                <w:sz w:val="18"/>
                <w:szCs w:val="18"/>
              </w:rPr>
            </w:pPr>
            <w:r>
              <w:rPr>
                <w:rFonts w:ascii="Arial Narrow" w:hAnsi="Arial Narrow"/>
                <w:sz w:val="18"/>
                <w:szCs w:val="18"/>
              </w:rPr>
              <w:t>2</w:t>
            </w:r>
          </w:p>
        </w:tc>
        <w:tc>
          <w:tcPr>
            <w:tcW w:w="0" w:type="auto"/>
          </w:tcPr>
          <w:p w:rsidR="00A8129E" w:rsidRPr="004219FE" w:rsidRDefault="006D614E" w:rsidP="002479F4">
            <w:pPr>
              <w:rPr>
                <w:rFonts w:ascii="Arial Narrow" w:hAnsi="Arial Narrow"/>
                <w:sz w:val="18"/>
                <w:szCs w:val="18"/>
              </w:rPr>
            </w:pPr>
            <w:r>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Public service messages, communication costs, publications, and branding and marking (non-ITSH related)</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Locally purchased ready-to-use </w:t>
            </w:r>
            <w:r>
              <w:rPr>
                <w:rFonts w:ascii="Arial Narrow" w:hAnsi="Arial Narrow"/>
                <w:sz w:val="18"/>
                <w:szCs w:val="18"/>
              </w:rPr>
              <w:t xml:space="preserve">supplementary and </w:t>
            </w:r>
            <w:r w:rsidRPr="004219FE">
              <w:rPr>
                <w:rFonts w:ascii="Arial Narrow" w:hAnsi="Arial Narrow"/>
                <w:sz w:val="18"/>
                <w:szCs w:val="18"/>
              </w:rPr>
              <w:t>therapeutic foods</w:t>
            </w:r>
            <w:r>
              <w:rPr>
                <w:rFonts w:ascii="Arial Narrow" w:hAnsi="Arial Narrow"/>
                <w:sz w:val="18"/>
                <w:szCs w:val="18"/>
              </w:rPr>
              <w:t>, small quantity lipid-based nutrient spread (LNS), micronutrient powders,</w:t>
            </w:r>
            <w:r w:rsidRPr="004219FE">
              <w:rPr>
                <w:rFonts w:ascii="Arial Narrow" w:hAnsi="Arial Narrow"/>
                <w:sz w:val="18"/>
                <w:szCs w:val="18"/>
              </w:rPr>
              <w:t xml:space="preserve"> or ORS (and ORS ingredients) </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4219FE" w:rsidRDefault="006D614E" w:rsidP="002479F4">
            <w:pPr>
              <w:rPr>
                <w:rFonts w:ascii="Arial Narrow" w:hAnsi="Arial Narrow"/>
                <w:sz w:val="18"/>
                <w:szCs w:val="18"/>
              </w:rPr>
            </w:pPr>
            <w:r>
              <w:rPr>
                <w:rFonts w:ascii="Arial Narrow" w:hAnsi="Arial Narrow"/>
                <w:sz w:val="18"/>
                <w:szCs w:val="18"/>
              </w:rPr>
              <w:t>2</w:t>
            </w:r>
          </w:p>
        </w:tc>
        <w:tc>
          <w:tcPr>
            <w:tcW w:w="0" w:type="auto"/>
          </w:tcPr>
          <w:p w:rsidR="00A8129E" w:rsidRPr="004219FE" w:rsidRDefault="006D614E" w:rsidP="002479F4">
            <w:pPr>
              <w:rPr>
                <w:rFonts w:ascii="Arial Narrow" w:hAnsi="Arial Narrow"/>
                <w:sz w:val="18"/>
                <w:szCs w:val="18"/>
              </w:rPr>
            </w:pPr>
            <w:r>
              <w:rPr>
                <w:rFonts w:ascii="Arial Narrow" w:hAnsi="Arial Narrow"/>
                <w:sz w:val="18"/>
                <w:szCs w:val="18"/>
              </w:rPr>
              <w:t>1</w:t>
            </w:r>
          </w:p>
        </w:tc>
        <w:tc>
          <w:tcPr>
            <w:tcW w:w="0" w:type="auto"/>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Surveys and needs/nutritional assessments during LOA (non-ITSH related) </w:t>
            </w:r>
          </w:p>
        </w:tc>
        <w:tc>
          <w:tcPr>
            <w:tcW w:w="0" w:type="auto"/>
            <w:tcBorders>
              <w:bottom w:val="single" w:sz="4" w:space="0" w:color="auto"/>
            </w:tcBorders>
            <w:shd w:val="clear" w:color="auto" w:fill="A6A6A6"/>
          </w:tcPr>
          <w:p w:rsidR="00A8129E" w:rsidRPr="004219FE" w:rsidRDefault="00A8129E" w:rsidP="002479F4">
            <w:pPr>
              <w:rPr>
                <w:rFonts w:ascii="Arial Narrow" w:hAnsi="Arial Narrow"/>
                <w:sz w:val="18"/>
                <w:szCs w:val="18"/>
              </w:rPr>
            </w:pP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Borders>
              <w:bottom w:val="single" w:sz="4" w:space="0" w:color="auto"/>
            </w:tcBorders>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Surveys and needs/nutritional assessments during LOA (ITSH related)</w:t>
            </w: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2</w:t>
            </w:r>
          </w:p>
        </w:tc>
        <w:tc>
          <w:tcPr>
            <w:tcW w:w="0" w:type="auto"/>
            <w:tcBorders>
              <w:bottom w:val="single" w:sz="4" w:space="0" w:color="auto"/>
            </w:tcBorders>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4</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lastRenderedPageBreak/>
              <w:t>Monitoring and evaluation costs (non-ITSH related)</w:t>
            </w:r>
          </w:p>
        </w:tc>
        <w:tc>
          <w:tcPr>
            <w:tcW w:w="0" w:type="auto"/>
            <w:tcBorders>
              <w:bottom w:val="single" w:sz="4" w:space="0" w:color="auto"/>
            </w:tcBorders>
            <w:shd w:val="clear" w:color="auto" w:fill="A6A6A6"/>
          </w:tcPr>
          <w:p w:rsidR="00A8129E" w:rsidRPr="004219FE" w:rsidRDefault="00A8129E" w:rsidP="002479F4">
            <w:pPr>
              <w:rPr>
                <w:rFonts w:ascii="Arial Narrow" w:hAnsi="Arial Narrow"/>
                <w:sz w:val="18"/>
                <w:szCs w:val="18"/>
              </w:rPr>
            </w:pP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1</w:t>
            </w:r>
          </w:p>
        </w:tc>
        <w:tc>
          <w:tcPr>
            <w:tcW w:w="0" w:type="auto"/>
            <w:tcBorders>
              <w:bottom w:val="single" w:sz="4" w:space="0" w:color="auto"/>
            </w:tcBorders>
          </w:tcPr>
          <w:p w:rsidR="00A8129E" w:rsidRPr="004219FE" w:rsidRDefault="00A8129E" w:rsidP="002479F4">
            <w:pPr>
              <w:rPr>
                <w:rFonts w:ascii="Arial Narrow" w:hAnsi="Arial Narrow"/>
                <w:sz w:val="18"/>
                <w:szCs w:val="18"/>
              </w:rPr>
            </w:pPr>
            <w:r>
              <w:rPr>
                <w:rFonts w:ascii="Arial Narrow" w:hAnsi="Arial Narrow"/>
                <w:sz w:val="18"/>
                <w:szCs w:val="18"/>
              </w:rPr>
              <w:t>2</w:t>
            </w:r>
          </w:p>
        </w:tc>
        <w:tc>
          <w:tcPr>
            <w:tcW w:w="0" w:type="auto"/>
            <w:tcBorders>
              <w:bottom w:val="single" w:sz="4" w:space="0" w:color="auto"/>
            </w:tcBorders>
            <w:shd w:val="clear" w:color="auto" w:fill="auto"/>
          </w:tcPr>
          <w:p w:rsidR="00A8129E" w:rsidRPr="004219FE" w:rsidRDefault="00A8129E" w:rsidP="002479F4">
            <w:pPr>
              <w:rPr>
                <w:rFonts w:ascii="Arial Narrow" w:hAnsi="Arial Narrow"/>
                <w:sz w:val="18"/>
                <w:szCs w:val="18"/>
              </w:rPr>
            </w:pPr>
            <w:r>
              <w:rPr>
                <w:rFonts w:ascii="Arial Narrow" w:hAnsi="Arial Narrow"/>
                <w:sz w:val="18"/>
                <w:szCs w:val="18"/>
              </w:rPr>
              <w:t>3</w:t>
            </w: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sidRPr="004219FE">
              <w:rPr>
                <w:rFonts w:ascii="Arial Narrow" w:hAnsi="Arial Narrow"/>
                <w:sz w:val="18"/>
                <w:szCs w:val="18"/>
              </w:rPr>
              <w:t xml:space="preserve">Commodity Insurance </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6A6A6"/>
          </w:tcPr>
          <w:p w:rsidR="00A8129E" w:rsidRPr="004219FE" w:rsidRDefault="00A8129E" w:rsidP="002479F4">
            <w:pPr>
              <w:rPr>
                <w:rFonts w:ascii="Arial Narrow" w:hAnsi="Arial Narrow"/>
                <w:sz w:val="18"/>
                <w:szCs w:val="18"/>
              </w:rPr>
            </w:pPr>
          </w:p>
        </w:tc>
        <w:tc>
          <w:tcPr>
            <w:tcW w:w="1136" w:type="dxa"/>
            <w:shd w:val="clear" w:color="auto" w:fill="auto"/>
          </w:tcPr>
          <w:p w:rsidR="00A8129E" w:rsidRPr="004219FE" w:rsidRDefault="00A8129E" w:rsidP="002479F4">
            <w:pPr>
              <w:rPr>
                <w:rFonts w:ascii="Arial Narrow" w:hAnsi="Arial Narrow"/>
                <w:sz w:val="18"/>
                <w:szCs w:val="18"/>
              </w:rPr>
            </w:pPr>
            <w:r w:rsidRPr="004219FE">
              <w:rPr>
                <w:rFonts w:ascii="Arial Narrow" w:hAnsi="Arial Narrow"/>
                <w:sz w:val="18"/>
                <w:szCs w:val="18"/>
              </w:rPr>
              <w:t>optional</w:t>
            </w:r>
          </w:p>
        </w:tc>
      </w:tr>
      <w:tr w:rsidR="00A8129E" w:rsidRPr="004219FE" w:rsidTr="002479F4">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Cash transfer and voucher activities</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CD44A0" w:rsidRDefault="00A8129E" w:rsidP="002479F4">
            <w:pPr>
              <w:rPr>
                <w:rFonts w:ascii="Arial Narrow" w:hAnsi="Arial Narrow"/>
                <w:sz w:val="18"/>
                <w:szCs w:val="18"/>
              </w:rPr>
            </w:pPr>
            <w:r>
              <w:rPr>
                <w:rFonts w:ascii="Arial Narrow" w:hAnsi="Arial Narrow"/>
                <w:sz w:val="18"/>
                <w:szCs w:val="18"/>
              </w:rPr>
              <w:t>1</w:t>
            </w:r>
          </w:p>
        </w:tc>
        <w:tc>
          <w:tcPr>
            <w:tcW w:w="0" w:type="auto"/>
            <w:shd w:val="clear" w:color="auto" w:fill="A6A6A6"/>
          </w:tcPr>
          <w:p w:rsidR="00A8129E" w:rsidRPr="004219FE" w:rsidRDefault="00A8129E" w:rsidP="002479F4">
            <w:pPr>
              <w:rPr>
                <w:rFonts w:ascii="Arial Narrow" w:hAnsi="Arial Narrow"/>
                <w:sz w:val="18"/>
                <w:szCs w:val="18"/>
              </w:rPr>
            </w:pPr>
          </w:p>
        </w:tc>
        <w:tc>
          <w:tcPr>
            <w:tcW w:w="1136" w:type="dxa"/>
            <w:shd w:val="clear" w:color="auto" w:fill="auto"/>
          </w:tcPr>
          <w:p w:rsidR="00A8129E" w:rsidRPr="004219FE" w:rsidRDefault="00A8129E" w:rsidP="002479F4">
            <w:pPr>
              <w:rPr>
                <w:rFonts w:ascii="Arial Narrow" w:hAnsi="Arial Narrow"/>
                <w:sz w:val="18"/>
                <w:szCs w:val="18"/>
              </w:rPr>
            </w:pPr>
          </w:p>
        </w:tc>
      </w:tr>
      <w:tr w:rsidR="00A8129E" w:rsidRPr="004219FE" w:rsidTr="002479F4">
        <w:tc>
          <w:tcPr>
            <w:tcW w:w="0" w:type="auto"/>
          </w:tcPr>
          <w:p w:rsidR="00A8129E" w:rsidRPr="004219FE" w:rsidRDefault="00A8129E" w:rsidP="002479F4">
            <w:pPr>
              <w:rPr>
                <w:rFonts w:ascii="Arial Narrow" w:hAnsi="Arial Narrow"/>
                <w:sz w:val="18"/>
                <w:szCs w:val="18"/>
              </w:rPr>
            </w:pPr>
            <w:r>
              <w:rPr>
                <w:rFonts w:ascii="Arial Narrow" w:hAnsi="Arial Narrow"/>
                <w:sz w:val="18"/>
                <w:szCs w:val="18"/>
              </w:rPr>
              <w:t>Local and regional procurement of commodities</w:t>
            </w: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6A6A6"/>
          </w:tcPr>
          <w:p w:rsidR="00A8129E" w:rsidRPr="004219FE" w:rsidRDefault="00A8129E" w:rsidP="002479F4">
            <w:pPr>
              <w:rPr>
                <w:rFonts w:ascii="Arial Narrow" w:hAnsi="Arial Narrow"/>
                <w:sz w:val="18"/>
                <w:szCs w:val="18"/>
              </w:rPr>
            </w:pPr>
          </w:p>
        </w:tc>
        <w:tc>
          <w:tcPr>
            <w:tcW w:w="0" w:type="auto"/>
            <w:shd w:val="clear" w:color="auto" w:fill="auto"/>
          </w:tcPr>
          <w:p w:rsidR="00A8129E" w:rsidRPr="00CD44A0" w:rsidRDefault="00A8129E" w:rsidP="002479F4">
            <w:pPr>
              <w:rPr>
                <w:rFonts w:ascii="Arial Narrow" w:hAnsi="Arial Narrow"/>
                <w:sz w:val="18"/>
                <w:szCs w:val="18"/>
              </w:rPr>
            </w:pPr>
            <w:r>
              <w:rPr>
                <w:rFonts w:ascii="Arial Narrow" w:hAnsi="Arial Narrow"/>
                <w:sz w:val="18"/>
                <w:szCs w:val="18"/>
              </w:rPr>
              <w:t>1</w:t>
            </w:r>
          </w:p>
        </w:tc>
        <w:tc>
          <w:tcPr>
            <w:tcW w:w="0" w:type="auto"/>
            <w:shd w:val="clear" w:color="auto" w:fill="A6A6A6"/>
          </w:tcPr>
          <w:p w:rsidR="00A8129E" w:rsidRPr="004219FE" w:rsidRDefault="00A8129E" w:rsidP="002479F4">
            <w:pPr>
              <w:rPr>
                <w:rFonts w:ascii="Arial Narrow" w:hAnsi="Arial Narrow"/>
                <w:sz w:val="18"/>
                <w:szCs w:val="18"/>
              </w:rPr>
            </w:pPr>
          </w:p>
        </w:tc>
        <w:tc>
          <w:tcPr>
            <w:tcW w:w="1136" w:type="dxa"/>
            <w:shd w:val="clear" w:color="auto" w:fill="auto"/>
          </w:tcPr>
          <w:p w:rsidR="00A8129E" w:rsidRPr="004219FE" w:rsidRDefault="00A8129E" w:rsidP="002479F4">
            <w:pPr>
              <w:rPr>
                <w:rFonts w:ascii="Arial Narrow" w:hAnsi="Arial Narrow"/>
                <w:sz w:val="18"/>
                <w:szCs w:val="18"/>
              </w:rPr>
            </w:pPr>
          </w:p>
        </w:tc>
      </w:tr>
    </w:tbl>
    <w:p w:rsidR="00535C27" w:rsidRDefault="00535C27" w:rsidP="002479F4"/>
    <w:sectPr w:rsidR="00535C27" w:rsidSect="002479F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9E" w:rsidRDefault="00A8129E" w:rsidP="00A8129E">
      <w:r>
        <w:separator/>
      </w:r>
    </w:p>
  </w:endnote>
  <w:endnote w:type="continuationSeparator" w:id="0">
    <w:p w:rsidR="00A8129E" w:rsidRDefault="00A8129E" w:rsidP="00A8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9E" w:rsidRDefault="00A8129E" w:rsidP="00A8129E">
      <w:r>
        <w:separator/>
      </w:r>
    </w:p>
  </w:footnote>
  <w:footnote w:type="continuationSeparator" w:id="0">
    <w:p w:rsidR="00A8129E" w:rsidRDefault="00A8129E" w:rsidP="00A8129E">
      <w:r>
        <w:continuationSeparator/>
      </w:r>
    </w:p>
  </w:footnote>
  <w:footnote w:id="1">
    <w:p w:rsidR="002479F4" w:rsidRPr="002479F4" w:rsidRDefault="002479F4">
      <w:pPr>
        <w:pStyle w:val="FootnoteText"/>
        <w:rPr>
          <w:rFonts w:ascii="Arial Narrow" w:hAnsi="Arial Narrow"/>
          <w:sz w:val="14"/>
        </w:rPr>
      </w:pPr>
      <w:r w:rsidRPr="002479F4">
        <w:rPr>
          <w:rStyle w:val="FootnoteReference"/>
          <w:rFonts w:ascii="Arial Narrow" w:hAnsi="Arial Narrow"/>
          <w:sz w:val="14"/>
        </w:rPr>
        <w:footnoteRef/>
      </w:r>
      <w:r w:rsidRPr="002479F4">
        <w:rPr>
          <w:rFonts w:ascii="Arial Narrow" w:hAnsi="Arial Narrow"/>
          <w:sz w:val="14"/>
        </w:rPr>
        <w:t xml:space="preserve"> Includes administrative, management, and personnel expenses</w:t>
      </w:r>
    </w:p>
  </w:footnote>
  <w:footnote w:id="2">
    <w:p w:rsidR="002479F4" w:rsidRDefault="002479F4">
      <w:pPr>
        <w:pStyle w:val="FootnoteText"/>
      </w:pPr>
      <w:r w:rsidRPr="002479F4">
        <w:rPr>
          <w:rStyle w:val="FootnoteReference"/>
          <w:rFonts w:ascii="Arial Narrow" w:hAnsi="Arial Narrow"/>
          <w:sz w:val="14"/>
        </w:rPr>
        <w:footnoteRef/>
      </w:r>
      <w:r w:rsidRPr="002479F4">
        <w:rPr>
          <w:rFonts w:ascii="Arial Narrow" w:hAnsi="Arial Narrow"/>
          <w:sz w:val="14"/>
        </w:rPr>
        <w:t xml:space="preserve"> Includes Section 202(e) funds used for </w:t>
      </w:r>
      <w:r w:rsidR="006D614E">
        <w:rPr>
          <w:rFonts w:ascii="Arial Narrow" w:hAnsi="Arial Narrow"/>
          <w:sz w:val="14"/>
        </w:rPr>
        <w:t>development food security activities including</w:t>
      </w:r>
      <w:r w:rsidRPr="002479F4">
        <w:rPr>
          <w:rFonts w:ascii="Arial Narrow" w:hAnsi="Arial Narrow"/>
          <w:sz w:val="14"/>
        </w:rPr>
        <w:t xml:space="preserve"> vouchers, or local and regional purchase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75554"/>
      <w:docPartObj>
        <w:docPartGallery w:val="Watermarks"/>
        <w:docPartUnique/>
      </w:docPartObj>
    </w:sdtPr>
    <w:sdtEndPr/>
    <w:sdtContent>
      <w:p w:rsidR="00A8129E" w:rsidRDefault="001945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9E"/>
    <w:rsid w:val="0019456D"/>
    <w:rsid w:val="002479F4"/>
    <w:rsid w:val="00535C27"/>
    <w:rsid w:val="006D614E"/>
    <w:rsid w:val="00A8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9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9E"/>
    <w:pPr>
      <w:tabs>
        <w:tab w:val="center" w:pos="4680"/>
        <w:tab w:val="right" w:pos="9360"/>
      </w:tabs>
    </w:pPr>
  </w:style>
  <w:style w:type="character" w:customStyle="1" w:styleId="HeaderChar">
    <w:name w:val="Header Char"/>
    <w:basedOn w:val="DefaultParagraphFont"/>
    <w:link w:val="Header"/>
    <w:uiPriority w:val="99"/>
    <w:rsid w:val="00A8129E"/>
    <w:rPr>
      <w:rFonts w:ascii="Arial" w:eastAsia="Times New Roman" w:hAnsi="Arial" w:cs="Arial"/>
    </w:rPr>
  </w:style>
  <w:style w:type="paragraph" w:styleId="Footer">
    <w:name w:val="footer"/>
    <w:basedOn w:val="Normal"/>
    <w:link w:val="FooterChar"/>
    <w:uiPriority w:val="99"/>
    <w:unhideWhenUsed/>
    <w:rsid w:val="00A8129E"/>
    <w:pPr>
      <w:tabs>
        <w:tab w:val="center" w:pos="4680"/>
        <w:tab w:val="right" w:pos="9360"/>
      </w:tabs>
    </w:pPr>
  </w:style>
  <w:style w:type="character" w:customStyle="1" w:styleId="FooterChar">
    <w:name w:val="Footer Char"/>
    <w:basedOn w:val="DefaultParagraphFont"/>
    <w:link w:val="Footer"/>
    <w:uiPriority w:val="99"/>
    <w:rsid w:val="00A8129E"/>
    <w:rPr>
      <w:rFonts w:ascii="Arial" w:eastAsia="Times New Roman" w:hAnsi="Arial" w:cs="Arial"/>
    </w:rPr>
  </w:style>
  <w:style w:type="paragraph" w:styleId="FootnoteText">
    <w:name w:val="footnote text"/>
    <w:basedOn w:val="Normal"/>
    <w:link w:val="FootnoteTextChar"/>
    <w:uiPriority w:val="99"/>
    <w:semiHidden/>
    <w:unhideWhenUsed/>
    <w:rsid w:val="002479F4"/>
    <w:rPr>
      <w:sz w:val="20"/>
      <w:szCs w:val="20"/>
    </w:rPr>
  </w:style>
  <w:style w:type="character" w:customStyle="1" w:styleId="FootnoteTextChar">
    <w:name w:val="Footnote Text Char"/>
    <w:basedOn w:val="DefaultParagraphFont"/>
    <w:link w:val="FootnoteText"/>
    <w:uiPriority w:val="99"/>
    <w:semiHidden/>
    <w:rsid w:val="002479F4"/>
    <w:rPr>
      <w:rFonts w:ascii="Arial" w:eastAsia="Times New Roman" w:hAnsi="Arial" w:cs="Arial"/>
      <w:sz w:val="20"/>
      <w:szCs w:val="20"/>
    </w:rPr>
  </w:style>
  <w:style w:type="character" w:styleId="FootnoteReference">
    <w:name w:val="footnote reference"/>
    <w:basedOn w:val="DefaultParagraphFont"/>
    <w:uiPriority w:val="99"/>
    <w:semiHidden/>
    <w:unhideWhenUsed/>
    <w:rsid w:val="002479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9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9E"/>
    <w:pPr>
      <w:tabs>
        <w:tab w:val="center" w:pos="4680"/>
        <w:tab w:val="right" w:pos="9360"/>
      </w:tabs>
    </w:pPr>
  </w:style>
  <w:style w:type="character" w:customStyle="1" w:styleId="HeaderChar">
    <w:name w:val="Header Char"/>
    <w:basedOn w:val="DefaultParagraphFont"/>
    <w:link w:val="Header"/>
    <w:uiPriority w:val="99"/>
    <w:rsid w:val="00A8129E"/>
    <w:rPr>
      <w:rFonts w:ascii="Arial" w:eastAsia="Times New Roman" w:hAnsi="Arial" w:cs="Arial"/>
    </w:rPr>
  </w:style>
  <w:style w:type="paragraph" w:styleId="Footer">
    <w:name w:val="footer"/>
    <w:basedOn w:val="Normal"/>
    <w:link w:val="FooterChar"/>
    <w:uiPriority w:val="99"/>
    <w:unhideWhenUsed/>
    <w:rsid w:val="00A8129E"/>
    <w:pPr>
      <w:tabs>
        <w:tab w:val="center" w:pos="4680"/>
        <w:tab w:val="right" w:pos="9360"/>
      </w:tabs>
    </w:pPr>
  </w:style>
  <w:style w:type="character" w:customStyle="1" w:styleId="FooterChar">
    <w:name w:val="Footer Char"/>
    <w:basedOn w:val="DefaultParagraphFont"/>
    <w:link w:val="Footer"/>
    <w:uiPriority w:val="99"/>
    <w:rsid w:val="00A8129E"/>
    <w:rPr>
      <w:rFonts w:ascii="Arial" w:eastAsia="Times New Roman" w:hAnsi="Arial" w:cs="Arial"/>
    </w:rPr>
  </w:style>
  <w:style w:type="paragraph" w:styleId="FootnoteText">
    <w:name w:val="footnote text"/>
    <w:basedOn w:val="Normal"/>
    <w:link w:val="FootnoteTextChar"/>
    <w:uiPriority w:val="99"/>
    <w:semiHidden/>
    <w:unhideWhenUsed/>
    <w:rsid w:val="002479F4"/>
    <w:rPr>
      <w:sz w:val="20"/>
      <w:szCs w:val="20"/>
    </w:rPr>
  </w:style>
  <w:style w:type="character" w:customStyle="1" w:styleId="FootnoteTextChar">
    <w:name w:val="Footnote Text Char"/>
    <w:basedOn w:val="DefaultParagraphFont"/>
    <w:link w:val="FootnoteText"/>
    <w:uiPriority w:val="99"/>
    <w:semiHidden/>
    <w:rsid w:val="002479F4"/>
    <w:rPr>
      <w:rFonts w:ascii="Arial" w:eastAsia="Times New Roman" w:hAnsi="Arial" w:cs="Arial"/>
      <w:sz w:val="20"/>
      <w:szCs w:val="20"/>
    </w:rPr>
  </w:style>
  <w:style w:type="character" w:styleId="FootnoteReference">
    <w:name w:val="footnote reference"/>
    <w:basedOn w:val="DefaultParagraphFont"/>
    <w:uiPriority w:val="99"/>
    <w:semiHidden/>
    <w:unhideWhenUsed/>
    <w:rsid w:val="00247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418A-F308-4FCC-904C-6463B155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2</cp:revision>
  <dcterms:created xsi:type="dcterms:W3CDTF">2014-08-15T20:36:00Z</dcterms:created>
  <dcterms:modified xsi:type="dcterms:W3CDTF">2014-08-15T20:36:00Z</dcterms:modified>
</cp:coreProperties>
</file>